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77097AC5" w14:textId="77777777" w:rsidR="00210E5A" w:rsidRDefault="00210E5A" w:rsidP="00632A63">
      <w:pPr>
        <w:jc w:val="center"/>
        <w:rPr>
          <w:rFonts w:ascii="Arial" w:hAnsi="Arial" w:cs="Arial"/>
          <w:b/>
          <w:color w:val="007AC2"/>
          <w:sz w:val="16"/>
        </w:rPr>
      </w:pPr>
    </w:p>
    <w:p w14:paraId="347504E8" w14:textId="170ACE02" w:rsidR="00256489" w:rsidRDefault="00DE1D30" w:rsidP="00256489">
      <w:pPr>
        <w:jc w:val="center"/>
        <w:rPr>
          <w:rFonts w:ascii="Arial" w:hAnsi="Arial" w:cs="Arial"/>
          <w:b/>
          <w:color w:val="007AC2"/>
          <w:sz w:val="32"/>
        </w:rPr>
      </w:pPr>
      <w:r>
        <w:rPr>
          <w:rFonts w:ascii="Arial" w:hAnsi="Arial" w:cs="Arial"/>
          <w:b/>
          <w:noProof/>
          <w:color w:val="007AC2"/>
          <w:sz w:val="32"/>
        </w:rPr>
        <w:drawing>
          <wp:inline distT="0" distB="0" distL="0" distR="0" wp14:anchorId="7F4ECE27" wp14:editId="65F18E98">
            <wp:extent cx="2070735" cy="1178717"/>
            <wp:effectExtent l="0" t="0" r="12065" b="0"/>
            <wp:docPr id="1" name="Picture 1" descr="/Volumes/Docs/Publicity/Active/Press Kits for Web Upload/2018/Topcon_Press-kit_X-53x /Topcon_GX-55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X-53x /Topcon_GX-55 copy.jpg"/>
                    <pic:cNvPicPr>
                      <a:picLocks noChangeAspect="1" noChangeArrowheads="1"/>
                    </pic:cNvPicPr>
                  </pic:nvPicPr>
                  <pic:blipFill rotWithShape="1">
                    <a:blip r:embed="rId8">
                      <a:extLst>
                        <a:ext uri="{28A0092B-C50C-407E-A947-70E740481C1C}">
                          <a14:useLocalDpi xmlns:a14="http://schemas.microsoft.com/office/drawing/2010/main" val="0"/>
                        </a:ext>
                      </a:extLst>
                    </a:blip>
                    <a:srcRect t="8006" b="6610"/>
                    <a:stretch/>
                  </pic:blipFill>
                  <pic:spPr bwMode="auto">
                    <a:xfrm>
                      <a:off x="0" y="0"/>
                      <a:ext cx="2093033" cy="119141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14:paraId="79B15FBF" w14:textId="77777777" w:rsidR="00F70080" w:rsidRPr="00F70080" w:rsidRDefault="00F70080" w:rsidP="00256489">
      <w:pPr>
        <w:jc w:val="center"/>
        <w:rPr>
          <w:rFonts w:ascii="Arial" w:hAnsi="Arial" w:cs="Arial"/>
          <w:b/>
          <w:color w:val="007AC2"/>
          <w:sz w:val="18"/>
        </w:rPr>
      </w:pPr>
    </w:p>
    <w:p w14:paraId="1CCD3FF5" w14:textId="091B5C52" w:rsidR="00F70080" w:rsidRPr="00256489" w:rsidRDefault="00256489" w:rsidP="00256489">
      <w:pPr>
        <w:jc w:val="center"/>
        <w:rPr>
          <w:rFonts w:ascii="Arial" w:hAnsi="Arial" w:cs="Arial"/>
          <w:b/>
          <w:color w:val="007AC2"/>
          <w:sz w:val="36"/>
        </w:rPr>
      </w:pPr>
      <w:r w:rsidRPr="00256489">
        <w:rPr>
          <w:rFonts w:ascii="Arial" w:hAnsi="Arial" w:cs="Arial"/>
          <w:b/>
          <w:color w:val="007AC2"/>
          <w:sz w:val="36"/>
        </w:rPr>
        <w:t xml:space="preserve">Topcon announces new modular 3D machine control excavation system for enhanced productivity </w:t>
      </w:r>
    </w:p>
    <w:p w14:paraId="00578FB7" w14:textId="77777777" w:rsidR="00632A63" w:rsidRPr="00F70080" w:rsidRDefault="00632A63" w:rsidP="00F96246">
      <w:pPr>
        <w:jc w:val="center"/>
        <w:rPr>
          <w:rFonts w:ascii="Arial" w:hAnsi="Arial" w:cs="Arial"/>
          <w:b/>
          <w:color w:val="007AC2"/>
          <w:lang w:val="en"/>
        </w:rPr>
      </w:pPr>
    </w:p>
    <w:p w14:paraId="3F60F711" w14:textId="4E73FB9A" w:rsidR="00256489" w:rsidRPr="00DE1D30" w:rsidRDefault="00AC3AE7" w:rsidP="00256489">
      <w:pPr>
        <w:rPr>
          <w:rFonts w:ascii="Arial" w:hAnsi="Arial" w:cs="Arial"/>
          <w:szCs w:val="22"/>
        </w:rPr>
      </w:pPr>
      <w:r w:rsidRPr="00DE1D30">
        <w:rPr>
          <w:rFonts w:ascii="Arial" w:hAnsi="Arial" w:cs="Arial"/>
          <w:i/>
          <w:szCs w:val="22"/>
        </w:rPr>
        <w:t xml:space="preserve">CAPELLE A/D IJSSEL, the Netherlands </w:t>
      </w:r>
      <w:r w:rsidR="00632A63" w:rsidRPr="00DE1D30">
        <w:rPr>
          <w:rFonts w:ascii="Arial" w:hAnsi="Arial" w:cs="Arial"/>
          <w:i/>
          <w:szCs w:val="22"/>
        </w:rPr>
        <w:t xml:space="preserve">– </w:t>
      </w:r>
      <w:r w:rsidRPr="00DE1D30">
        <w:rPr>
          <w:rFonts w:ascii="Arial" w:hAnsi="Arial" w:cs="Arial"/>
          <w:i/>
          <w:szCs w:val="22"/>
        </w:rPr>
        <w:t>April 23,</w:t>
      </w:r>
      <w:r w:rsidR="003F4D43" w:rsidRPr="00DE1D30">
        <w:rPr>
          <w:rFonts w:ascii="Arial" w:hAnsi="Arial" w:cs="Arial"/>
          <w:i/>
          <w:szCs w:val="22"/>
        </w:rPr>
        <w:t xml:space="preserve"> 2018</w:t>
      </w:r>
      <w:r w:rsidR="00632A63" w:rsidRPr="00DE1D30">
        <w:rPr>
          <w:rFonts w:ascii="Arial" w:hAnsi="Arial" w:cs="Arial"/>
          <w:i/>
          <w:szCs w:val="22"/>
        </w:rPr>
        <w:t xml:space="preserve"> – </w:t>
      </w:r>
      <w:r w:rsidR="00256489" w:rsidRPr="00DE1D30">
        <w:rPr>
          <w:rFonts w:ascii="Arial" w:hAnsi="Arial" w:cs="Arial"/>
          <w:szCs w:val="22"/>
        </w:rPr>
        <w:t xml:space="preserve">Topcon Positioning Group announces a new 3D machine control system designed to offer a faster, modular and easily upgradeable aftermarket solution for excavation — the X-53x. </w:t>
      </w:r>
    </w:p>
    <w:p w14:paraId="05F31495" w14:textId="77777777" w:rsidR="00256489" w:rsidRPr="00DE1D30" w:rsidRDefault="00256489" w:rsidP="00256489">
      <w:pPr>
        <w:rPr>
          <w:rFonts w:ascii="Arial" w:hAnsi="Arial" w:cs="Arial"/>
          <w:szCs w:val="22"/>
        </w:rPr>
      </w:pPr>
    </w:p>
    <w:p w14:paraId="59693D98" w14:textId="77777777" w:rsidR="00256489" w:rsidRPr="00DE1D30" w:rsidRDefault="00256489" w:rsidP="00256489">
      <w:pPr>
        <w:rPr>
          <w:rFonts w:ascii="Arial" w:hAnsi="Arial" w:cs="Arial"/>
          <w:bCs/>
          <w:szCs w:val="22"/>
        </w:rPr>
      </w:pPr>
      <w:r w:rsidRPr="00DE1D30">
        <w:rPr>
          <w:rFonts w:ascii="Arial" w:hAnsi="Arial" w:cs="Arial"/>
          <w:bCs/>
          <w:szCs w:val="22"/>
        </w:rPr>
        <w:t>“It features fully integrated GR-i3 receivers for precise positioning of the boom, stick and bucket at all times, as well as the MC-X1 controller, which offers compatibility with all brands and models of excavators and provides a customizable machine control platform to address future project demands,” said</w:t>
      </w:r>
      <w:r w:rsidRPr="00DE1D30">
        <w:rPr>
          <w:rFonts w:ascii="Arial" w:hAnsi="Arial" w:cs="Arial"/>
          <w:szCs w:val="22"/>
        </w:rPr>
        <w:t xml:space="preserve"> Murray Lodge, </w:t>
      </w:r>
      <w:r w:rsidRPr="00DE1D30">
        <w:rPr>
          <w:rFonts w:ascii="Arial" w:hAnsi="Arial" w:cs="Arial"/>
          <w:bCs/>
          <w:szCs w:val="22"/>
        </w:rPr>
        <w:t>senior vice president and general manager for the Topcon Construction Business Unit. “The X-53x maximizes the output of your excavator up to 30 percent more than machines without a 3D system.”</w:t>
      </w:r>
    </w:p>
    <w:p w14:paraId="356CC32A" w14:textId="77777777" w:rsidR="00256489" w:rsidRPr="00DE1D30" w:rsidRDefault="00256489" w:rsidP="00256489">
      <w:pPr>
        <w:rPr>
          <w:rFonts w:ascii="Arial" w:hAnsi="Arial" w:cs="Arial"/>
          <w:bCs/>
          <w:szCs w:val="22"/>
        </w:rPr>
      </w:pPr>
    </w:p>
    <w:p w14:paraId="2887FF05" w14:textId="1DD8CC8C" w:rsidR="00256489" w:rsidRPr="00DE1D30" w:rsidRDefault="00256489" w:rsidP="00256489">
      <w:pPr>
        <w:rPr>
          <w:rFonts w:ascii="Arial" w:hAnsi="Arial" w:cs="Arial"/>
          <w:bCs/>
          <w:szCs w:val="22"/>
        </w:rPr>
      </w:pPr>
      <w:r w:rsidRPr="00DE1D30">
        <w:rPr>
          <w:rFonts w:ascii="Arial" w:hAnsi="Arial" w:cs="Arial"/>
          <w:bCs/>
          <w:szCs w:val="22"/>
        </w:rPr>
        <w:t xml:space="preserve">The GR-i3 is designed as an integrated GNSS receiver and antenna all in one, providing powerful performance in harsh environmental conditions. The system is engineered to be easily upgradeable for future excavation demands as technology becomes available. </w:t>
      </w:r>
    </w:p>
    <w:p w14:paraId="044F37B7" w14:textId="77777777" w:rsidR="00256489" w:rsidRPr="00DE1D30" w:rsidRDefault="00256489" w:rsidP="00256489">
      <w:pPr>
        <w:rPr>
          <w:rFonts w:ascii="Arial" w:hAnsi="Arial" w:cs="Arial"/>
          <w:bCs/>
          <w:szCs w:val="22"/>
        </w:rPr>
      </w:pPr>
    </w:p>
    <w:p w14:paraId="6E19133C" w14:textId="212BEBC1" w:rsidR="00256489" w:rsidRPr="00DE1D30" w:rsidRDefault="00256489" w:rsidP="00256489">
      <w:pPr>
        <w:rPr>
          <w:rFonts w:ascii="Arial" w:hAnsi="Arial" w:cs="Arial"/>
          <w:bCs/>
          <w:szCs w:val="22"/>
        </w:rPr>
      </w:pPr>
      <w:r w:rsidRPr="00DE1D30">
        <w:rPr>
          <w:rFonts w:ascii="Arial" w:hAnsi="Arial" w:cs="Arial"/>
          <w:bCs/>
          <w:szCs w:val="22"/>
        </w:rPr>
        <w:t xml:space="preserve">“As we continually focus on making our solutions even faster and more efficient, this system is built for easy transition to any developments down the road, while drastically improving productivity today. Customers operating the Topcon 2D X-52i system can easily upgrade to the X-53x by adding the GR-i3 receivers for a 3D solution. As future technologies become available, the X-53x system will offer the modular capabilities to facilitate quick and efficient adaptation,” said Lodge. </w:t>
      </w:r>
    </w:p>
    <w:p w14:paraId="5303E7FF" w14:textId="77777777" w:rsidR="00256489" w:rsidRPr="00DE1D30" w:rsidRDefault="00256489" w:rsidP="00256489">
      <w:pPr>
        <w:rPr>
          <w:rFonts w:ascii="Arial" w:hAnsi="Arial" w:cs="Arial"/>
          <w:bCs/>
          <w:szCs w:val="22"/>
        </w:rPr>
      </w:pPr>
    </w:p>
    <w:p w14:paraId="57E7FD93" w14:textId="77777777" w:rsidR="00256489" w:rsidRPr="00DE1D30" w:rsidRDefault="00256489" w:rsidP="00256489">
      <w:pPr>
        <w:rPr>
          <w:rFonts w:ascii="Arial" w:hAnsi="Arial" w:cs="Arial"/>
          <w:bCs/>
          <w:szCs w:val="22"/>
          <w:lang w:val="en-AU"/>
        </w:rPr>
      </w:pPr>
      <w:r w:rsidRPr="00DE1D30">
        <w:rPr>
          <w:rFonts w:ascii="Arial" w:hAnsi="Arial" w:cs="Arial"/>
          <w:szCs w:val="22"/>
        </w:rPr>
        <w:t xml:space="preserve">For more information, visit </w:t>
      </w:r>
      <w:hyperlink r:id="rId9" w:history="1">
        <w:r w:rsidRPr="00DE1D30">
          <w:rPr>
            <w:rStyle w:val="Hyperlink"/>
            <w:rFonts w:ascii="Arial" w:hAnsi="Arial" w:cs="Arial"/>
            <w:szCs w:val="22"/>
          </w:rPr>
          <w:t>topconpositioning.com</w:t>
        </w:r>
      </w:hyperlink>
      <w:r w:rsidRPr="00DE1D30">
        <w:rPr>
          <w:rFonts w:ascii="Arial" w:hAnsi="Arial" w:cs="Arial"/>
          <w:szCs w:val="22"/>
        </w:rPr>
        <w:t>.</w:t>
      </w:r>
    </w:p>
    <w:p w14:paraId="20EDDD37" w14:textId="0B5E654D" w:rsidR="00BF529A" w:rsidRPr="00DE1D30" w:rsidRDefault="00BF529A" w:rsidP="00256489">
      <w:pPr>
        <w:rPr>
          <w:rFonts w:ascii="Arial" w:hAnsi="Arial" w:cs="Arial"/>
          <w:sz w:val="16"/>
          <w:szCs w:val="20"/>
        </w:rPr>
      </w:pPr>
    </w:p>
    <w:p w14:paraId="50781AD0" w14:textId="5FA1F259" w:rsidR="002A070C" w:rsidRPr="00256489" w:rsidRDefault="002A070C" w:rsidP="00827142">
      <w:pPr>
        <w:rPr>
          <w:rFonts w:ascii="Arial" w:hAnsi="Arial" w:cs="Arial"/>
          <w:sz w:val="10"/>
          <w:szCs w:val="20"/>
        </w:rPr>
      </w:pPr>
    </w:p>
    <w:p w14:paraId="4D7D5DE9" w14:textId="0859CEAC" w:rsidR="001722FF" w:rsidRPr="00DE1D30" w:rsidRDefault="00F61E29" w:rsidP="00F61E29">
      <w:pPr>
        <w:rPr>
          <w:rFonts w:ascii="Arial" w:hAnsi="Arial" w:cs="Arial"/>
          <w:color w:val="808080" w:themeColor="background1" w:themeShade="80"/>
          <w:sz w:val="15"/>
          <w:szCs w:val="14"/>
        </w:rPr>
      </w:pPr>
      <w:r w:rsidRPr="00DE1D30">
        <w:rPr>
          <w:rFonts w:ascii="Arial" w:hAnsi="Arial" w:cs="Arial"/>
          <w:b/>
          <w:color w:val="808080" w:themeColor="background1" w:themeShade="80"/>
          <w:sz w:val="15"/>
          <w:szCs w:val="14"/>
        </w:rPr>
        <w:t xml:space="preserve">About Topcon Positioning Group </w:t>
      </w:r>
      <w:r w:rsidRPr="00DE1D30">
        <w:rPr>
          <w:rFonts w:ascii="Arial" w:hAnsi="Arial" w:cs="Arial"/>
          <w:b/>
          <w:color w:val="808080" w:themeColor="background1" w:themeShade="80"/>
          <w:sz w:val="15"/>
          <w:szCs w:val="14"/>
        </w:rPr>
        <w:br/>
      </w:r>
      <w:r w:rsidR="002A070C" w:rsidRPr="00DE1D30">
        <w:rPr>
          <w:rFonts w:ascii="Arial" w:hAnsi="Arial" w:cs="Arial"/>
          <w:color w:val="808080" w:themeColor="background1" w:themeShade="80"/>
          <w:sz w:val="15"/>
          <w:szCs w:val="14"/>
        </w:rPr>
        <w:t>Topcon Positioning Group is headquartered in Livermore, California, U.S. (</w:t>
      </w:r>
      <w:hyperlink r:id="rId10" w:history="1">
        <w:r w:rsidR="002A070C" w:rsidRPr="00DE1D30">
          <w:rPr>
            <w:rStyle w:val="Hyperlink"/>
            <w:rFonts w:ascii="Arial" w:hAnsi="Arial" w:cs="Arial"/>
            <w:sz w:val="15"/>
            <w:szCs w:val="14"/>
          </w:rPr>
          <w:t>topconpositioning.com</w:t>
        </w:r>
      </w:hyperlink>
      <w:r w:rsidR="002A070C" w:rsidRPr="00DE1D30">
        <w:rPr>
          <w:rFonts w:ascii="Arial" w:hAnsi="Arial" w:cs="Arial"/>
          <w:color w:val="808080" w:themeColor="background1" w:themeShade="80"/>
          <w:sz w:val="15"/>
          <w:szCs w:val="14"/>
        </w:rPr>
        <w:t xml:space="preserve">). Its European head office is in </w:t>
      </w:r>
      <w:proofErr w:type="spellStart"/>
      <w:r w:rsidR="002A070C" w:rsidRPr="00DE1D30">
        <w:rPr>
          <w:rFonts w:ascii="Arial" w:hAnsi="Arial" w:cs="Arial"/>
          <w:color w:val="808080" w:themeColor="background1" w:themeShade="80"/>
          <w:sz w:val="15"/>
          <w:szCs w:val="14"/>
        </w:rPr>
        <w:t>Capel</w:t>
      </w:r>
      <w:r w:rsidR="00995B68" w:rsidRPr="00DE1D30">
        <w:rPr>
          <w:rFonts w:ascii="Arial" w:hAnsi="Arial" w:cs="Arial"/>
          <w:color w:val="808080" w:themeColor="background1" w:themeShade="80"/>
          <w:sz w:val="15"/>
          <w:szCs w:val="14"/>
        </w:rPr>
        <w:t>le</w:t>
      </w:r>
      <w:proofErr w:type="spellEnd"/>
      <w:r w:rsidR="00995B68" w:rsidRPr="00DE1D30">
        <w:rPr>
          <w:rFonts w:ascii="Arial" w:hAnsi="Arial" w:cs="Arial"/>
          <w:color w:val="808080" w:themeColor="background1" w:themeShade="80"/>
          <w:sz w:val="15"/>
          <w:szCs w:val="14"/>
        </w:rPr>
        <w:t xml:space="preserve"> </w:t>
      </w:r>
      <w:proofErr w:type="spellStart"/>
      <w:r w:rsidR="00995B68" w:rsidRPr="00DE1D30">
        <w:rPr>
          <w:rFonts w:ascii="Arial" w:hAnsi="Arial" w:cs="Arial"/>
          <w:color w:val="808080" w:themeColor="background1" w:themeShade="80"/>
          <w:sz w:val="15"/>
          <w:szCs w:val="14"/>
        </w:rPr>
        <w:t>a/d</w:t>
      </w:r>
      <w:proofErr w:type="spellEnd"/>
      <w:r w:rsidR="00995B68" w:rsidRPr="00DE1D30">
        <w:rPr>
          <w:rFonts w:ascii="Arial" w:hAnsi="Arial" w:cs="Arial"/>
          <w:color w:val="808080" w:themeColor="background1" w:themeShade="80"/>
          <w:sz w:val="15"/>
          <w:szCs w:val="14"/>
        </w:rPr>
        <w:t xml:space="preserve"> </w:t>
      </w:r>
      <w:proofErr w:type="spellStart"/>
      <w:r w:rsidR="00995B68" w:rsidRPr="00DE1D30">
        <w:rPr>
          <w:rFonts w:ascii="Arial" w:hAnsi="Arial" w:cs="Arial"/>
          <w:color w:val="808080" w:themeColor="background1" w:themeShade="80"/>
          <w:sz w:val="15"/>
          <w:szCs w:val="14"/>
        </w:rPr>
        <w:t>IJssel</w:t>
      </w:r>
      <w:proofErr w:type="spellEnd"/>
      <w:r w:rsidR="00995B68" w:rsidRPr="00DE1D30">
        <w:rPr>
          <w:rFonts w:ascii="Arial" w:hAnsi="Arial" w:cs="Arial"/>
          <w:color w:val="808080" w:themeColor="background1" w:themeShade="80"/>
          <w:sz w:val="15"/>
          <w:szCs w:val="14"/>
        </w:rPr>
        <w:t xml:space="preserve">, the Netherlands. </w:t>
      </w:r>
      <w:r w:rsidR="002A070C" w:rsidRPr="00DE1D30">
        <w:rPr>
          <w:rFonts w:ascii="Arial" w:hAnsi="Arial" w:cs="Arial"/>
          <w:color w:val="808080" w:themeColor="background1" w:themeShade="80"/>
          <w:sz w:val="15"/>
          <w:szCs w:val="14"/>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1" w:history="1">
        <w:r w:rsidR="002A070C" w:rsidRPr="00DE1D30">
          <w:rPr>
            <w:rStyle w:val="Hyperlink"/>
            <w:rFonts w:ascii="Arial" w:hAnsi="Arial" w:cs="Arial"/>
            <w:sz w:val="15"/>
            <w:szCs w:val="14"/>
          </w:rPr>
          <w:t>topcon.com</w:t>
        </w:r>
      </w:hyperlink>
      <w:r w:rsidR="002A070C" w:rsidRPr="00DE1D30">
        <w:rPr>
          <w:rFonts w:ascii="Arial" w:hAnsi="Arial" w:cs="Arial"/>
          <w:color w:val="808080" w:themeColor="background1" w:themeShade="80"/>
          <w:sz w:val="15"/>
          <w:szCs w:val="14"/>
        </w:rPr>
        <w:t>), founded in 1932, is traded on t</w:t>
      </w:r>
      <w:r w:rsidR="00BE666D" w:rsidRPr="00DE1D30">
        <w:rPr>
          <w:rFonts w:ascii="Arial" w:hAnsi="Arial" w:cs="Arial"/>
          <w:color w:val="808080" w:themeColor="background1" w:themeShade="80"/>
          <w:sz w:val="15"/>
          <w:szCs w:val="14"/>
        </w:rPr>
        <w:t>he Tokyo Stock Exchange (7732).</w:t>
      </w:r>
    </w:p>
    <w:p w14:paraId="785A3F79" w14:textId="77777777" w:rsidR="00DE1D30" w:rsidRPr="00DE1D30" w:rsidRDefault="00DE1D30" w:rsidP="00F61E29">
      <w:pPr>
        <w:rPr>
          <w:rFonts w:ascii="Arial" w:hAnsi="Arial" w:cs="Arial"/>
          <w:color w:val="808080" w:themeColor="background1" w:themeShade="80"/>
          <w:sz w:val="15"/>
          <w:szCs w:val="14"/>
        </w:rPr>
      </w:pPr>
    </w:p>
    <w:p w14:paraId="0FF251D1" w14:textId="3941FE7E" w:rsidR="00CF3909" w:rsidRPr="00DE1D30" w:rsidRDefault="00F61E29" w:rsidP="00F61E29">
      <w:pPr>
        <w:jc w:val="center"/>
        <w:rPr>
          <w:rFonts w:ascii="Arial" w:hAnsi="Arial" w:cs="Arial"/>
          <w:color w:val="808080" w:themeColor="background1" w:themeShade="80"/>
          <w:sz w:val="15"/>
          <w:szCs w:val="14"/>
        </w:rPr>
      </w:pPr>
      <w:r w:rsidRPr="00DE1D30">
        <w:rPr>
          <w:rFonts w:ascii="Arial" w:hAnsi="Arial" w:cs="Arial"/>
          <w:color w:val="808080" w:themeColor="background1" w:themeShade="80"/>
          <w:sz w:val="15"/>
          <w:szCs w:val="14"/>
        </w:rPr>
        <w:t># # #</w:t>
      </w:r>
    </w:p>
    <w:p w14:paraId="56D02AFB" w14:textId="77777777" w:rsidR="00F61E29" w:rsidRPr="00DE1D30" w:rsidRDefault="00F61E29" w:rsidP="00F61E29">
      <w:pPr>
        <w:outlineLvl w:val="0"/>
        <w:rPr>
          <w:rFonts w:ascii="Arial" w:hAnsi="Arial" w:cs="Arial"/>
          <w:b/>
          <w:color w:val="808080" w:themeColor="background1" w:themeShade="80"/>
          <w:sz w:val="15"/>
          <w:szCs w:val="14"/>
        </w:rPr>
      </w:pPr>
      <w:r w:rsidRPr="00DE1D30">
        <w:rPr>
          <w:rFonts w:ascii="Arial" w:hAnsi="Arial" w:cs="Arial"/>
          <w:b/>
          <w:color w:val="808080" w:themeColor="background1" w:themeShade="80"/>
          <w:sz w:val="15"/>
          <w:szCs w:val="14"/>
        </w:rPr>
        <w:t xml:space="preserve">Press Contact: </w:t>
      </w:r>
    </w:p>
    <w:p w14:paraId="0B0DC8C3" w14:textId="77777777" w:rsidR="00F61E29" w:rsidRPr="00DE1D30" w:rsidRDefault="00F61E29" w:rsidP="00F61E29">
      <w:pPr>
        <w:outlineLvl w:val="0"/>
        <w:rPr>
          <w:rFonts w:ascii="Arial" w:hAnsi="Arial" w:cs="Arial"/>
          <w:bCs/>
          <w:color w:val="808080" w:themeColor="background1" w:themeShade="80"/>
          <w:sz w:val="15"/>
          <w:szCs w:val="14"/>
        </w:rPr>
      </w:pPr>
      <w:r w:rsidRPr="00DE1D30">
        <w:rPr>
          <w:rFonts w:ascii="Arial" w:hAnsi="Arial" w:cs="Arial"/>
          <w:bCs/>
          <w:color w:val="808080" w:themeColor="background1" w:themeShade="80"/>
          <w:sz w:val="15"/>
          <w:szCs w:val="14"/>
        </w:rPr>
        <w:t>Topcon Positioning Group</w:t>
      </w:r>
    </w:p>
    <w:p w14:paraId="2ADB91B2" w14:textId="77777777" w:rsidR="00F61E29" w:rsidRPr="00DE1D30" w:rsidRDefault="00C83A35" w:rsidP="00F61E29">
      <w:pPr>
        <w:outlineLvl w:val="0"/>
        <w:rPr>
          <w:rFonts w:ascii="Arial" w:hAnsi="Arial" w:cs="Arial"/>
          <w:bCs/>
          <w:color w:val="808080" w:themeColor="background1" w:themeShade="80"/>
          <w:sz w:val="15"/>
          <w:szCs w:val="14"/>
          <w:lang w:val="it-IT"/>
        </w:rPr>
      </w:pPr>
      <w:hyperlink r:id="rId12" w:history="1">
        <w:r w:rsidR="00F61E29" w:rsidRPr="00DE1D30">
          <w:rPr>
            <w:rStyle w:val="Hyperlink"/>
            <w:rFonts w:ascii="Arial" w:hAnsi="Arial" w:cs="Arial"/>
            <w:bCs/>
            <w:color w:val="808080" w:themeColor="background1" w:themeShade="80"/>
            <w:sz w:val="15"/>
            <w:szCs w:val="14"/>
            <w:lang w:val="it-IT"/>
          </w:rPr>
          <w:t>CorpComm@topcon.com</w:t>
        </w:r>
      </w:hyperlink>
    </w:p>
    <w:p w14:paraId="0A116BCA" w14:textId="1CC17708" w:rsidR="00D42632" w:rsidRPr="00DE1D30" w:rsidRDefault="00FD1C0E" w:rsidP="00FD1C0E">
      <w:pPr>
        <w:outlineLvl w:val="0"/>
        <w:rPr>
          <w:rFonts w:ascii="Arial" w:hAnsi="Arial" w:cs="Arial"/>
          <w:bCs/>
          <w:color w:val="808080" w:themeColor="background1" w:themeShade="80"/>
          <w:sz w:val="15"/>
          <w:szCs w:val="14"/>
        </w:rPr>
      </w:pPr>
      <w:r w:rsidRPr="00DE1D30">
        <w:rPr>
          <w:rFonts w:ascii="Arial" w:hAnsi="Arial" w:cs="Arial"/>
          <w:bCs/>
          <w:color w:val="808080" w:themeColor="background1" w:themeShade="80"/>
          <w:sz w:val="15"/>
          <w:szCs w:val="14"/>
        </w:rPr>
        <w:t xml:space="preserve">Staci Fitzgerald, +1 925-245-8610 </w:t>
      </w:r>
      <w:r w:rsidRPr="00DE1D30">
        <w:rPr>
          <w:rFonts w:ascii="Arial" w:hAnsi="Arial" w:cs="Arial"/>
          <w:bCs/>
          <w:color w:val="808080" w:themeColor="background1" w:themeShade="80"/>
          <w:sz w:val="15"/>
          <w:szCs w:val="14"/>
        </w:rPr>
        <w:br/>
      </w:r>
    </w:p>
    <w:sectPr w:rsidR="00D42632" w:rsidRPr="00DE1D30" w:rsidSect="00CF3909">
      <w:headerReference w:type="first" r:id="rId13"/>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848EC" w14:textId="77777777" w:rsidR="00C83A35" w:rsidRDefault="00C83A35">
      <w:r>
        <w:separator/>
      </w:r>
    </w:p>
  </w:endnote>
  <w:endnote w:type="continuationSeparator" w:id="0">
    <w:p w14:paraId="5CE0C8C3" w14:textId="77777777" w:rsidR="00C83A35" w:rsidRDefault="00C8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B4936" w14:textId="77777777" w:rsidR="00C83A35" w:rsidRDefault="00C83A35">
      <w:r>
        <w:separator/>
      </w:r>
    </w:p>
  </w:footnote>
  <w:footnote w:type="continuationSeparator" w:id="0">
    <w:p w14:paraId="0DC2E961" w14:textId="77777777" w:rsidR="00C83A35" w:rsidRDefault="00C83A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16781"/>
    <w:rsid w:val="001269F8"/>
    <w:rsid w:val="00130BEA"/>
    <w:rsid w:val="001406BB"/>
    <w:rsid w:val="00163F32"/>
    <w:rsid w:val="001722FF"/>
    <w:rsid w:val="00177523"/>
    <w:rsid w:val="001855FB"/>
    <w:rsid w:val="001A276A"/>
    <w:rsid w:val="001A5950"/>
    <w:rsid w:val="001B6BA0"/>
    <w:rsid w:val="001D47AE"/>
    <w:rsid w:val="001D71E9"/>
    <w:rsid w:val="001E495F"/>
    <w:rsid w:val="001F6EE0"/>
    <w:rsid w:val="00210E5A"/>
    <w:rsid w:val="0021108A"/>
    <w:rsid w:val="00211CAC"/>
    <w:rsid w:val="0021353A"/>
    <w:rsid w:val="00213BC9"/>
    <w:rsid w:val="00220127"/>
    <w:rsid w:val="00234742"/>
    <w:rsid w:val="00236756"/>
    <w:rsid w:val="002377E8"/>
    <w:rsid w:val="00247FF4"/>
    <w:rsid w:val="00256489"/>
    <w:rsid w:val="00265C21"/>
    <w:rsid w:val="00267859"/>
    <w:rsid w:val="002751AA"/>
    <w:rsid w:val="002811A7"/>
    <w:rsid w:val="00283421"/>
    <w:rsid w:val="002A070C"/>
    <w:rsid w:val="002A1B4F"/>
    <w:rsid w:val="002A56AD"/>
    <w:rsid w:val="002B2158"/>
    <w:rsid w:val="002B32F1"/>
    <w:rsid w:val="002B65A9"/>
    <w:rsid w:val="002C1C4F"/>
    <w:rsid w:val="002E2BC8"/>
    <w:rsid w:val="002E5E21"/>
    <w:rsid w:val="002F29C4"/>
    <w:rsid w:val="00313F6E"/>
    <w:rsid w:val="003163AA"/>
    <w:rsid w:val="0032173B"/>
    <w:rsid w:val="003217F4"/>
    <w:rsid w:val="00340920"/>
    <w:rsid w:val="003507A9"/>
    <w:rsid w:val="00353911"/>
    <w:rsid w:val="00355294"/>
    <w:rsid w:val="00364AA6"/>
    <w:rsid w:val="003801D4"/>
    <w:rsid w:val="0038352E"/>
    <w:rsid w:val="0039761D"/>
    <w:rsid w:val="003A6C06"/>
    <w:rsid w:val="003A7243"/>
    <w:rsid w:val="003B1941"/>
    <w:rsid w:val="003B200E"/>
    <w:rsid w:val="003B4135"/>
    <w:rsid w:val="003C3E10"/>
    <w:rsid w:val="003C6648"/>
    <w:rsid w:val="003F134C"/>
    <w:rsid w:val="003F4D43"/>
    <w:rsid w:val="003F5E34"/>
    <w:rsid w:val="00412292"/>
    <w:rsid w:val="00413E95"/>
    <w:rsid w:val="00416269"/>
    <w:rsid w:val="0043387D"/>
    <w:rsid w:val="00433A38"/>
    <w:rsid w:val="0046547D"/>
    <w:rsid w:val="00471166"/>
    <w:rsid w:val="00482A23"/>
    <w:rsid w:val="00486106"/>
    <w:rsid w:val="004B7B79"/>
    <w:rsid w:val="004C2A52"/>
    <w:rsid w:val="004C4705"/>
    <w:rsid w:val="004C77DD"/>
    <w:rsid w:val="004C7DC9"/>
    <w:rsid w:val="004D399D"/>
    <w:rsid w:val="004F0BDC"/>
    <w:rsid w:val="00513E5B"/>
    <w:rsid w:val="00514C2F"/>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2A63"/>
    <w:rsid w:val="00637E81"/>
    <w:rsid w:val="0064309C"/>
    <w:rsid w:val="006456AE"/>
    <w:rsid w:val="0065235A"/>
    <w:rsid w:val="00653C74"/>
    <w:rsid w:val="006643CB"/>
    <w:rsid w:val="006713DD"/>
    <w:rsid w:val="006926B3"/>
    <w:rsid w:val="006A0908"/>
    <w:rsid w:val="006B2A9A"/>
    <w:rsid w:val="006C6B2E"/>
    <w:rsid w:val="006D3CF8"/>
    <w:rsid w:val="006E05C2"/>
    <w:rsid w:val="006E15AD"/>
    <w:rsid w:val="006E2F31"/>
    <w:rsid w:val="006F2B49"/>
    <w:rsid w:val="0071332E"/>
    <w:rsid w:val="007530F6"/>
    <w:rsid w:val="00756005"/>
    <w:rsid w:val="007605FA"/>
    <w:rsid w:val="00765F8C"/>
    <w:rsid w:val="00773A4C"/>
    <w:rsid w:val="0078639E"/>
    <w:rsid w:val="00790B1E"/>
    <w:rsid w:val="00790F45"/>
    <w:rsid w:val="007B0EFE"/>
    <w:rsid w:val="007B2ADF"/>
    <w:rsid w:val="007B3233"/>
    <w:rsid w:val="007C481B"/>
    <w:rsid w:val="007C5005"/>
    <w:rsid w:val="007D26FD"/>
    <w:rsid w:val="007F4506"/>
    <w:rsid w:val="00810DE0"/>
    <w:rsid w:val="00813858"/>
    <w:rsid w:val="008141F4"/>
    <w:rsid w:val="00823C59"/>
    <w:rsid w:val="00827142"/>
    <w:rsid w:val="00832E9A"/>
    <w:rsid w:val="008469A0"/>
    <w:rsid w:val="00846CEF"/>
    <w:rsid w:val="00853C9A"/>
    <w:rsid w:val="008702B4"/>
    <w:rsid w:val="00870D37"/>
    <w:rsid w:val="008802C4"/>
    <w:rsid w:val="00882DC6"/>
    <w:rsid w:val="00891FF7"/>
    <w:rsid w:val="008962D4"/>
    <w:rsid w:val="008D0202"/>
    <w:rsid w:val="008F54A3"/>
    <w:rsid w:val="009115C1"/>
    <w:rsid w:val="00911FD9"/>
    <w:rsid w:val="009434F4"/>
    <w:rsid w:val="00953F3D"/>
    <w:rsid w:val="00956EF7"/>
    <w:rsid w:val="009666D5"/>
    <w:rsid w:val="00975493"/>
    <w:rsid w:val="00985028"/>
    <w:rsid w:val="009914F1"/>
    <w:rsid w:val="00995B68"/>
    <w:rsid w:val="009964DE"/>
    <w:rsid w:val="009C3261"/>
    <w:rsid w:val="00A06D66"/>
    <w:rsid w:val="00A36D45"/>
    <w:rsid w:val="00A47E24"/>
    <w:rsid w:val="00A53662"/>
    <w:rsid w:val="00A57BD4"/>
    <w:rsid w:val="00A60195"/>
    <w:rsid w:val="00A9365C"/>
    <w:rsid w:val="00A95736"/>
    <w:rsid w:val="00A976A5"/>
    <w:rsid w:val="00AA20B3"/>
    <w:rsid w:val="00AA2A43"/>
    <w:rsid w:val="00AA5C55"/>
    <w:rsid w:val="00AB50D8"/>
    <w:rsid w:val="00AC09BA"/>
    <w:rsid w:val="00AC3AE7"/>
    <w:rsid w:val="00AE6481"/>
    <w:rsid w:val="00B1099D"/>
    <w:rsid w:val="00B10B56"/>
    <w:rsid w:val="00B402B7"/>
    <w:rsid w:val="00B4058E"/>
    <w:rsid w:val="00B64457"/>
    <w:rsid w:val="00B92736"/>
    <w:rsid w:val="00B92C56"/>
    <w:rsid w:val="00B92CFE"/>
    <w:rsid w:val="00BA6826"/>
    <w:rsid w:val="00BB19B5"/>
    <w:rsid w:val="00BB25D3"/>
    <w:rsid w:val="00BB4455"/>
    <w:rsid w:val="00BC6358"/>
    <w:rsid w:val="00BD71D0"/>
    <w:rsid w:val="00BE5DE2"/>
    <w:rsid w:val="00BE666D"/>
    <w:rsid w:val="00BF1DD5"/>
    <w:rsid w:val="00BF37F1"/>
    <w:rsid w:val="00BF529A"/>
    <w:rsid w:val="00C01690"/>
    <w:rsid w:val="00C03ADA"/>
    <w:rsid w:val="00C23A3B"/>
    <w:rsid w:val="00C24DBF"/>
    <w:rsid w:val="00C31391"/>
    <w:rsid w:val="00C33DB6"/>
    <w:rsid w:val="00C638D1"/>
    <w:rsid w:val="00C71809"/>
    <w:rsid w:val="00C7597C"/>
    <w:rsid w:val="00C817C9"/>
    <w:rsid w:val="00C83A35"/>
    <w:rsid w:val="00C92C21"/>
    <w:rsid w:val="00C958B3"/>
    <w:rsid w:val="00CD3455"/>
    <w:rsid w:val="00CD3535"/>
    <w:rsid w:val="00CE188F"/>
    <w:rsid w:val="00CE7843"/>
    <w:rsid w:val="00CF3909"/>
    <w:rsid w:val="00CF403B"/>
    <w:rsid w:val="00CF7FC5"/>
    <w:rsid w:val="00D06CD0"/>
    <w:rsid w:val="00D1630B"/>
    <w:rsid w:val="00D21DEA"/>
    <w:rsid w:val="00D250E6"/>
    <w:rsid w:val="00D42632"/>
    <w:rsid w:val="00D47414"/>
    <w:rsid w:val="00D55832"/>
    <w:rsid w:val="00D62FA8"/>
    <w:rsid w:val="00D6369D"/>
    <w:rsid w:val="00D647FC"/>
    <w:rsid w:val="00D6784A"/>
    <w:rsid w:val="00D70AF0"/>
    <w:rsid w:val="00D70EE2"/>
    <w:rsid w:val="00D91CF0"/>
    <w:rsid w:val="00D979CB"/>
    <w:rsid w:val="00DA66FE"/>
    <w:rsid w:val="00DC60A0"/>
    <w:rsid w:val="00DE1D30"/>
    <w:rsid w:val="00E07F73"/>
    <w:rsid w:val="00E16158"/>
    <w:rsid w:val="00E32B47"/>
    <w:rsid w:val="00E74974"/>
    <w:rsid w:val="00E95EFF"/>
    <w:rsid w:val="00EB1000"/>
    <w:rsid w:val="00EC3044"/>
    <w:rsid w:val="00ED70D3"/>
    <w:rsid w:val="00EE1C16"/>
    <w:rsid w:val="00EE33D2"/>
    <w:rsid w:val="00F023E2"/>
    <w:rsid w:val="00F20CD6"/>
    <w:rsid w:val="00F25765"/>
    <w:rsid w:val="00F463E2"/>
    <w:rsid w:val="00F55F20"/>
    <w:rsid w:val="00F6101F"/>
    <w:rsid w:val="00F61E29"/>
    <w:rsid w:val="00F62C6C"/>
    <w:rsid w:val="00F70080"/>
    <w:rsid w:val="00F757D3"/>
    <w:rsid w:val="00F81B4F"/>
    <w:rsid w:val="00F860E1"/>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F006B-4596-0C4F-B692-1CC65964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371</Words>
  <Characters>2118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2485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3</cp:revision>
  <cp:lastPrinted>2015-08-13T12:52:00Z</cp:lastPrinted>
  <dcterms:created xsi:type="dcterms:W3CDTF">2018-03-20T19:28:00Z</dcterms:created>
  <dcterms:modified xsi:type="dcterms:W3CDTF">2018-04-20T19:33:00Z</dcterms:modified>
  <cp:category/>
</cp:coreProperties>
</file>